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an7zbsmrj50t" w:id="0"/>
      <w:bookmarkEnd w:id="0"/>
      <w:r w:rsidDel="00000000" w:rsidR="00000000" w:rsidRPr="00000000">
        <w:rPr>
          <w:rtl w:val="0"/>
        </w:rPr>
        <w:t xml:space="preserve">Pemahaman Sederhana tentang Zakat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Apa itu Zakat Secara Umum?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Bayangkan zakat seperti "pembersih hati dan harta". Secara bahasa, zakat berarti "menyucikan" dan "tumbuh". Maksudnya adalah: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Menyucikan Harta: Harta yang kita miliki sebenarnya ada hak orang lain di dalamnya. Dengan berzakat, kita membersihkan harta kita dari hak tersebut.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Menyucikan Hati: Zakat melatih kita untuk melawan rasa serakah dan cinta dunia yang berlebihan.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Membuat Harta Berkembang: Secara spiritual, harta yang dizakati akan menjadi berkah dan membawa kebaikan.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Siapa yang Wajib Zakat?</w:t>
        <w:br w:type="textWrapping"/>
        <w:t xml:space="preserve">Seorang Muslim yang memenuhi syarat berikut: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Berakal dan Baligh (sudah dewasa)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Memiliki harta yang sudah mencapai nisab (batas minimum wajib zakat).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Siapa yang Berhak Menerima Zakat?</w:t>
        <w:br w:type="textWrapping"/>
        <w:t xml:space="preserve">Ada 8 kelompok (ashnaf) yang ditentukan dalam Al-Qur'an (QS. At-Taubah: 60), di antaranya: orang fakir, miskin, pengelola zakat (amil), muallaf (yang baru masuk Islam), untuk memerdekakan budak, orang yang terlilit hutang, fi sabilillah (untuk jihad di jalan Allah), dan musafir yang kehabisan bekal.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rPr/>
      </w:pPr>
      <w:bookmarkStart w:colFirst="0" w:colLast="0" w:name="_o3ix81111f4m" w:id="1"/>
      <w:bookmarkEnd w:id="1"/>
      <w:r w:rsidDel="00000000" w:rsidR="00000000" w:rsidRPr="00000000">
        <w:rPr>
          <w:rtl w:val="0"/>
        </w:rPr>
        <w:t xml:space="preserve">Berdasarkan Jenisnya: Zakat Fitrah vs Zakat Mal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Berikut adalah penjelasan sederhana tentang dua jenis zakat utama dalam bentuk tabel untuk memudahkan pemahaman: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3.4884358967327"/>
        <w:gridCol w:w="3689.8724244835257"/>
        <w:gridCol w:w="3522.1509506433654"/>
        <w:tblGridChange w:id="0">
          <w:tblGrid>
            <w:gridCol w:w="1813.4884358967327"/>
            <w:gridCol w:w="3689.8724244835257"/>
            <w:gridCol w:w="3522.1509506433654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Aspek Perbandingan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Zakat Fitrah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Zakat Mal (Harta)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**Apa yang Dizakati? 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Diri sendiri (setiap jiwa).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Harta kekayaan yang dimiliki.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Tujuan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Menyucikan orang yang berpuasa dari perbuatan sia-sia dan kata-kata kotor selama Ramadan, serta menolong fakir miskin untuk merayakan Idul Fitri.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Menyucikan harta yang berkembang atau produktif.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Waktu Pembayaran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Waktunya sangat ketat: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Mulai: Akhir Ramadan (biasanya tanggal 28-29).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Paling utama: Sebelum shalat Idul Fitri.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Jika lewat: Berdosa, tapi tetap wajib dibayar.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Setiap tahun sekali (haul), setelah harta dimiliki genap satu tahun dan mencapai nisab. Bisa dibayar kapan saja dalam setahun setelah syarat terpenuhi.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Besaran (Nisab)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Tidak ada nisab harta. Setiap muslim wajib bayar, kaya atau miskin (yang mampu saat itu).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 nisab, berbeda-beda sesuai jenis hartanya.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Kadar Zakat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Tetap: 1 Sha' (setara dengan ±2.5 kg atau 3.5 liter) makanan pokok daerah setempat (beras, gandum, dll).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Umumnya 2.5%, kecuali untuk hasil pertanian (5% atau 10%) dan barang tambang.</w:t>
            </w:r>
          </w:p>
        </w:tc>
      </w:tr>
      <w:tr>
        <w:trPr>
          <w:cantSplit w:val="0"/>
          <w:trHeight w:val="25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Keluarga dengan 4 orang: 4 x 2.5 kg = 10 kg beras.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Bisa diganti dengan uang senilai 10 kg beras tersebut.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Emas: Jika punya emas 100 gram (sudah mencapai nisab), zakatnya: 2.5% x 100 gram = 2.5 gram emas (atau nilainya dalam uang).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Uang Tabungan: Jika simpanan uang setara dengan 85 gram emas dan sudah dimiliki 1 tahun, zakatnya 2.5% dari total uang tersebut.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rPr/>
      </w:pPr>
      <w:bookmarkStart w:colFirst="0" w:colLast="0" w:name="_kjx8sgp0w5t2" w:id="2"/>
      <w:bookmarkEnd w:id="2"/>
      <w:r w:rsidDel="00000000" w:rsidR="00000000" w:rsidRPr="00000000">
        <w:rPr>
          <w:rtl w:val="0"/>
        </w:rPr>
        <w:t xml:space="preserve">Kesimpulan Sederhana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Zakat Fitrah itu seperti "tiket" untuk merayakan Idul Fitri. Setiap orang harus memilikinya agar bisa ikut merayakan dengan hati yang bersih dan membantu sesama agar mereka juga bisa bergembira.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Zakat Mal itu seperti "pajak kekayaan" dalam Islam. Jika kita sudah kaya (harta kita sudah melebihi batas tertentu dan sudah lama dimiliki), maka kita wajib mengeluarkan sebagian kecil (2.5%) untuk dibagikan kepada yang berhak.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Dengan memahami perbedaan ini, kita dapat menunaikan kewajiban zakat dengan lebih tepat dan ikhlas.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This response is AI-generated, for reference only.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